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LEADINGTRANSIT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Employer-Sponsored Membership Justification &amp; Approval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Purpose: </w:t>
      </w:r>
      <w:r w:rsidDel="00000000" w:rsidR="00000000" w:rsidRPr="00000000">
        <w:rPr>
          <w:rtl w:val="0"/>
        </w:rPr>
        <w:t xml:space="preserve">Use this form to request employer funding for a LeadingTransit membership and to document alignment, expected use, and approvals.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Sample Email (delete from form)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Request approval — LeadingTransit membership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Hello [Manager Name],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seeking approval for a 12-month membership to LeadingTransit, a member-supported, vendor-neutral platform for public-transit professionals. The value is practical and timely: practitioner-led interviews, peer roundtables, and workshops focused on core areas we manage—Operational Excellence, Funding &amp; Procurement, Sustainability and the Zero-Emission transition, Infrastructure &amp; Projects, and Safety &amp; Security.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comfortable, I’d appreciate your approval. I’m happy to share more context if needed.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Best,</w:t>
        <w:br w:type="textWrapping"/>
        <w:t xml:space="preserve">[Your Name]</w:t>
        <w:br w:type="textWrapping"/>
        <w:t xml:space="preserve">[Title] | [Department] | [Agency]</w:t>
        <w:br w:type="textWrapping"/>
        <w:t xml:space="preserve">[Phone]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A — Employee Information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Employee Name: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Title / Role: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Department / Division: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Agency / Organization: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Work Email: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Work Phone: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B — Membership Request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Membership Type:   ☐ Individual (1-year)   ☐ Other: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Cost (USD/CAD):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Proposed Start Date (MM/DD/YYYY):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Payment Method:   ☐ Agency card   ☐ Invoice   ☐ Reimbursement   ☐ Other: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Budget Code / GL: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C — Alignment with LeadingTransit Focus Areas 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Core Themes: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Safety &amp; Security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Environmental &amp; Sustainability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Equity &amp; Accessibility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Operational Excellence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Multimodal Integration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Workforce Development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Innovation &amp; Partnership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Major Capital Projects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News &amp; Insight Lenses: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Politics &amp; Policy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Funding &amp; Procurement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Safety &amp; Incidents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Technology &amp; Innovation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Operations &amp; Performance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Infrastructure &amp; Projects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People &amp; Leadership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Sustainability &amp; Zero-Emission Transition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Industry Partnerships &amp; M&amp;A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Public Perception &amp; Ridership Behavior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D — Expected Use &amp; Deliverables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Primary focus areas for this membership: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☐ Safety &amp; Security   ☐ Environmental &amp; Sustainability   ☐ Equity &amp; Accessibility   ☐ Operational Excellence   ☐ Multimodal Integration   ☐ Workforce Development   ☐ Innovation &amp; Partnership   ☐ Major Capital Projects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☐ Politics &amp; Policy   ☐ Funding &amp; Procurement   ☐ Safety &amp; Incidents   ☐ Technology &amp; Innovation   ☐ Operations &amp; Performance   ☐ Infrastructure &amp; Projects   ☐ People &amp; Leadership   ☐ Sustainability &amp; Zero-Emission Transition   ☐ Industry Partnerships &amp; M&amp;A   ☐ Public Perception &amp; Ridership Behavior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Projects this membership will support (next 6–12 months):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Deliverables back to the agency (if applicable):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Monthly one-page briefing to leadership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Quarterly lunch-and-learn / share-out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Templates/checklists shared to Teams/SharePoint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Short comparative memo for an upcoming procurement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bCs w:val="1"/>
          <w:rtl w:val="0"/>
        </w:rPr>
        <w:t xml:space="preserve">☐ </w:t>
      </w:r>
      <w:r w:rsidDel="00000000" w:rsidR="00000000" w:rsidRPr="00000000">
        <w:rPr>
          <w:rtl w:val="0"/>
        </w:rPr>
        <w:t xml:space="preserve">Other: 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Estimated time commitment: ~1–2 hours/week (asynchronous; peaks around workshops/briefings).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E — Neutrality, Privacy &amp;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LeadingTransit is a vendor-neutral, member-supported platform. Private-sector contributors are non-voting and follow a firewall/recusal policy. Member discussions follow the Chatham House Rule and a no-solicitation standard to respect procurement sensitivities.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F — Cost–Benefit Snapshot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Annual membership cost: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Consultant hours avoided:  ____ hrs × $_____ =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Travel avoided (conference days):  ____ days × $_____ =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Staff time savings (templates/briefings):  ____ hrs/mo × 12 × $_____ =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Net estimated benefit (benefits – cost):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Notes/assumptions: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 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 __________________________________________________________________________________________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bCs w:val="1"/>
          <w:rtl w:val="0"/>
        </w:rPr>
        <w:t xml:space="preserve">Section G — Approvals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Manager / Approver</w:t>
      </w:r>
    </w:p>
    <w:tbl>
      <w:tblPr>
        <w:tblStyle w:val="Table4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Name &amp; Title: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Department: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Decision:   ☐ Approved   ☐ Not approved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Approved Amount (USD/CAD):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Procurement / Finance (if required)</w:t>
      </w:r>
    </w:p>
    <w:tbl>
      <w:tblPr>
        <w:tblStyle w:val="Table5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Reviewer: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Date:]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</w:t>
            </w:r>
          </w:p>
        </w:tc>
      </w:tr>
    </w:tbl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vOu3vNubLlUdvS1rSf+9SKdXg==">CgMxLjA4AHIhMUlWOFdrMUVxLUJTbXk1aml3S1VJLWpJTktUQWtRNm5H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